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7" w:rsidRDefault="008F6A87" w:rsidP="0002038B"/>
    <w:tbl>
      <w:tblPr>
        <w:tblW w:w="5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014"/>
        <w:gridCol w:w="3044"/>
      </w:tblGrid>
      <w:tr w:rsidR="008F6A87">
        <w:trPr>
          <w:trHeight w:val="408"/>
          <w:tblHeader/>
          <w:jc w:val="center"/>
        </w:trPr>
        <w:tc>
          <w:tcPr>
            <w:tcW w:w="11058" w:type="dxa"/>
            <w:gridSpan w:val="2"/>
          </w:tcPr>
          <w:p w:rsidR="008F6A87" w:rsidRPr="003825D4" w:rsidRDefault="008F6A87" w:rsidP="003F0D8E">
            <w:pPr>
              <w:jc w:val="center"/>
              <w:rPr>
                <w:b/>
                <w:bCs/>
                <w:sz w:val="28"/>
                <w:szCs w:val="28"/>
              </w:rPr>
            </w:pPr>
            <w:r w:rsidRPr="00856AFE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採購作業標準作業流程</w:t>
            </w:r>
          </w:p>
        </w:tc>
      </w:tr>
      <w:tr w:rsidR="008F6A87">
        <w:trPr>
          <w:trHeight w:val="408"/>
          <w:tblHeader/>
          <w:jc w:val="center"/>
        </w:trPr>
        <w:tc>
          <w:tcPr>
            <w:tcW w:w="8014" w:type="dxa"/>
          </w:tcPr>
          <w:p w:rsidR="008F6A87" w:rsidRDefault="008F6A87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流程圖</w:t>
            </w:r>
          </w:p>
        </w:tc>
        <w:tc>
          <w:tcPr>
            <w:tcW w:w="3044" w:type="dxa"/>
          </w:tcPr>
          <w:p w:rsidR="008F6A87" w:rsidRDefault="008F6A87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作業程序及注意事項</w:t>
            </w:r>
          </w:p>
        </w:tc>
      </w:tr>
      <w:tr w:rsidR="008F6A87">
        <w:trPr>
          <w:trHeight w:val="11898"/>
          <w:jc w:val="center"/>
        </w:trPr>
        <w:tc>
          <w:tcPr>
            <w:tcW w:w="8014" w:type="dxa"/>
          </w:tcPr>
          <w:p w:rsidR="008F6A87" w:rsidRDefault="008F6A87" w:rsidP="008F6A87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260.15pt,348.15pt" to="368.9pt,348.15pt"/>
              </w:pict>
            </w:r>
            <w:r>
              <w:rPr>
                <w:rFonts w:ascii="標楷體" w:eastAsia="標楷體" w:hAnsi="標楷體" w:cs="標楷體" w:hint="eastAsia"/>
              </w:rPr>
              <w:t>四、</w:t>
            </w:r>
            <w:r w:rsidRPr="005E74A5">
              <w:rPr>
                <w:rFonts w:ascii="標楷體" w:eastAsia="標楷體" w:hAnsi="標楷體" w:cs="標楷體" w:hint="eastAsia"/>
              </w:rPr>
              <w:t>限制性招標</w:t>
            </w:r>
            <w:r w:rsidRPr="005E74A5">
              <w:rPr>
                <w:rFonts w:ascii="標楷體" w:eastAsia="標楷體" w:hAnsi="標楷體" w:cs="標楷體"/>
              </w:rPr>
              <w:t>(</w:t>
            </w:r>
            <w:r w:rsidRPr="005E74A5">
              <w:rPr>
                <w:rFonts w:ascii="標楷體" w:eastAsia="標楷體" w:hAnsi="標楷體" w:cs="標楷體" w:hint="eastAsia"/>
              </w:rPr>
              <w:t>公開評選</w:t>
            </w:r>
            <w:r w:rsidRPr="005E74A5">
              <w:rPr>
                <w:rFonts w:ascii="標楷體" w:eastAsia="標楷體" w:hAnsi="標楷體" w:cs="標楷體"/>
              </w:rPr>
              <w:t>)</w:t>
            </w:r>
            <w:r w:rsidRPr="005E74A5">
              <w:rPr>
                <w:rFonts w:ascii="標楷體" w:eastAsia="標楷體" w:hAnsi="標楷體" w:cs="標楷體" w:hint="eastAsia"/>
              </w:rPr>
              <w:t>採購流程</w:t>
            </w:r>
          </w:p>
          <w:p w:rsidR="008F6A87" w:rsidRPr="00F546A5" w:rsidRDefault="008F6A87" w:rsidP="008F6A87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line id="_x0000_s1027" style="position:absolute;left:0;text-align:left;z-index:251656192" from="233.35pt,340.55pt" to="233.4pt,371.3pt"/>
              </w:pict>
            </w:r>
            <w:r>
              <w:rPr>
                <w:noProof/>
              </w:rPr>
              <w:pict>
                <v:line id="_x0000_s1028" style="position:absolute;left:0;text-align:left;z-index:251657216" from="214.25pt,369.8pt" to="233.75pt,369.85pt"/>
              </w:pict>
            </w:r>
            <w:r>
              <w:rPr>
                <w:noProof/>
              </w:rPr>
              <w:pict>
                <v:group id="_x0000_s1029" style="position:absolute;left:0;text-align:left;margin-left:-5.5pt;margin-top:.3pt;width:404.25pt;height:573.7pt;z-index:251655168" coordorigin="1470,1760" coordsize="9018,1208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3624;top:12938;width:2498;height:907">
                    <v:textbox style="mso-next-textbox:#_x0000_s1030" inset="1.1224mm,.56119mm,1.1224mm,.56119mm">
                      <w:txbxContent>
                        <w:p w:rsidR="008F6A87" w:rsidRPr="00503016" w:rsidRDefault="008F6A87" w:rsidP="006671DC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依採購程序辦理請款</w:t>
                          </w:r>
                        </w:p>
                        <w:p w:rsidR="008F6A87" w:rsidRPr="00503016" w:rsidRDefault="008F6A87" w:rsidP="006671DC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總務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處</w:t>
                          </w:r>
                        </w:p>
                      </w:txbxContent>
                    </v:textbox>
                  </v:shape>
                  <v:line id="_x0000_s1031" style="position:absolute" from="8970,10489" to="8971,10958">
                    <v:stroke endarrow="block"/>
                  </v:line>
                  <v:shape id="_x0000_s1032" type="#_x0000_t202" style="position:absolute;left:4095;top:1760;width:4888;height:680">
                    <v:textbox style="mso-next-textbox:#_x0000_s1032" inset="0,0,0,0">
                      <w:txbxContent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確認需求採購級距廠商資格及招標文件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33" type="#_x0000_t202" style="position:absolute;left:5304;top:2705;width:2421;height:680">
                    <v:textbox style="mso-next-textbox:#_x0000_s1033" inset="0,0,0,0">
                      <w:txbxContent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簽辦採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購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34" type="#_x0000_t202" style="position:absolute;left:5175;top:3620;width:2658;height:680">
                    <v:textbox style="mso-next-textbox:#_x0000_s1034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採購招標公告及文件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35" type="#_x0000_t202" style="position:absolute;left:4314;top:4655;width:1722;height:680">
                    <v:textbox style="mso-next-textbox:#_x0000_s1035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收受招標文件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36" type="#_x0000_t202" style="position:absolute;left:6553;top:10399;width:1722;height:680">
                    <v:textbox style="mso-next-textbox:#_x0000_s1036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底價分析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業務單位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37" type="#_x0000_t202" style="position:absolute;left:6474;top:11358;width:1956;height:680">
                    <v:textbox style="mso-next-textbox:#_x0000_s1037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底價會議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D1010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總務處</w:t>
                          </w:r>
                          <w:r w:rsidRPr="006D1010">
                            <w:rPr>
                              <w:rFonts w:ascii="標楷體" w:eastAsia="標楷體" w:hAnsi="標楷體" w:cs="標楷體"/>
                              <w:sz w:val="22"/>
                              <w:szCs w:val="22"/>
                            </w:rPr>
                            <w:t>/</w:t>
                          </w:r>
                          <w:r w:rsidRPr="006D1010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審查小組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38" type="#_x0000_t202" style="position:absolute;left:6537;top:12334;width:1722;height:680">
                    <v:textbox style="mso-next-textbox:#_x0000_s1038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訂定底價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218BE">
                            <w:rPr>
                              <w:rFonts w:ascii="標楷體" w:eastAsia="標楷體" w:hAnsi="標楷體" w:cs="標楷體" w:hint="eastAsia"/>
                            </w:rPr>
                            <w:t>校長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或授權人</w:t>
                          </w:r>
                        </w:p>
                      </w:txbxContent>
                    </v:textbox>
                  </v:shape>
                  <v:shape id="_x0000_s1039" type="#_x0000_t202" style="position:absolute;left:3480;top:5585;width:2983;height:680">
                    <v:textbox style="mso-next-textbox:#_x0000_s1039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開標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 xml:space="preserve"> </w:t>
                          </w:r>
                        </w:p>
                        <w:p w:rsidR="008F6A87" w:rsidRPr="006D1010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6D1010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總務處</w:t>
                          </w:r>
                          <w:r w:rsidRPr="006D1010">
                            <w:rPr>
                              <w:rFonts w:ascii="標楷體" w:eastAsia="標楷體" w:hAnsi="標楷體" w:cs="標楷體"/>
                              <w:sz w:val="22"/>
                              <w:szCs w:val="22"/>
                            </w:rPr>
                            <w:t>.</w:t>
                          </w:r>
                          <w:r w:rsidRPr="006D1010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業務單位</w:t>
                          </w:r>
                          <w:r w:rsidRPr="006D1010">
                            <w:rPr>
                              <w:rFonts w:ascii="標楷體" w:eastAsia="標楷體" w:hAnsi="標楷體" w:cs="標楷體"/>
                              <w:sz w:val="22"/>
                              <w:szCs w:val="22"/>
                            </w:rPr>
                            <w:t>.</w:t>
                          </w:r>
                          <w:r w:rsidRPr="006D1010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監辦單位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40" type="#_x0000_t202" style="position:absolute;left:4269;top:6545;width:1722;height:680">
                    <v:textbox style="mso-next-textbox:#_x0000_s1040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審查合格廠商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41" type="#_x0000_t110" alt="" style="position:absolute;left:3735;top:7504;width:2850;height:945"/>
                  <v:shape id="_x0000_s1042" type="#_x0000_t202" style="position:absolute;left:4539;top:7755;width:1266;height:450" strokecolor="white">
                    <v:textbox style="mso-next-textbox:#_x0000_s1042" inset="0,0,0,0">
                      <w:txbxContent>
                        <w:p w:rsidR="008F6A87" w:rsidRPr="00470BB2" w:rsidRDefault="008F6A87" w:rsidP="006671DC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有</w:t>
                          </w:r>
                          <w:r w:rsidRPr="00470BB2"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無合格廠商</w:t>
                          </w:r>
                        </w:p>
                      </w:txbxContent>
                    </v:textbox>
                  </v:shape>
                  <v:shape id="_x0000_s1043" type="#_x0000_t202" style="position:absolute;left:1629;top:7660;width:1722;height:680">
                    <v:textbox style="mso-next-textbox:#_x0000_s1043" inset="0,0,0,0">
                      <w:txbxContent>
                        <w:p w:rsidR="008F6A87" w:rsidRPr="006D1010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D1010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製作流廢標紀錄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44" type="#_x0000_t110" alt="" style="position:absolute;left:7770;top:9529;width:2640;height:960"/>
                  <v:shape id="_x0000_s1045" type="#_x0000_t202" style="position:absolute;left:8439;top:9780;width:1266;height:435" strokecolor="white">
                    <v:textbox style="mso-next-textbox:#_x0000_s1045" inset="0,0,0,0">
                      <w:txbxContent>
                        <w:p w:rsidR="008F6A87" w:rsidRPr="00470BB2" w:rsidRDefault="008F6A87" w:rsidP="006671DC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有</w:t>
                          </w:r>
                          <w:r w:rsidRPr="00470BB2"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無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優勝</w:t>
                          </w:r>
                          <w:r w:rsidRPr="00470BB2"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廠商</w:t>
                          </w:r>
                        </w:p>
                      </w:txbxContent>
                    </v:textbox>
                  </v:shape>
                  <v:shape id="_x0000_s1046" type="#_x0000_t202" style="position:absolute;left:3465;top:8615;width:2983;height:680">
                    <v:textbox style="mso-next-textbox:#_x0000_s1046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議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比價及製作紀錄</w:t>
                          </w:r>
                        </w:p>
                        <w:p w:rsidR="008F6A87" w:rsidRPr="006D1010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6D1010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總務處</w:t>
                          </w:r>
                          <w:r w:rsidRPr="006D1010">
                            <w:rPr>
                              <w:rFonts w:ascii="標楷體" w:eastAsia="標楷體" w:hAnsi="標楷體" w:cs="標楷體"/>
                              <w:sz w:val="22"/>
                              <w:szCs w:val="22"/>
                            </w:rPr>
                            <w:t>.</w:t>
                          </w:r>
                          <w:r w:rsidRPr="006D1010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業務單位</w:t>
                          </w:r>
                          <w:r w:rsidRPr="006D1010">
                            <w:rPr>
                              <w:rFonts w:ascii="標楷體" w:eastAsia="標楷體" w:hAnsi="標楷體" w:cs="標楷體"/>
                              <w:sz w:val="22"/>
                              <w:szCs w:val="22"/>
                            </w:rPr>
                            <w:t>.</w:t>
                          </w:r>
                          <w:r w:rsidRPr="006D1010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監辦單位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47" type="#_x0000_t202" style="position:absolute;left:3945;top:9560;width:2211;height:680">
                    <v:textbox style="mso-next-textbox:#_x0000_s1047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開標結果通知廠商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48" type="#_x0000_t202" style="position:absolute;left:4104;top:11243;width:1722;height:680">
                    <v:textbox style="mso-next-textbox:#_x0000_s1048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採購履約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業務單位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49" type="#_x0000_t202" style="position:absolute;left:4104;top:12110;width:1722;height:680">
                    <v:textbox style="mso-next-textbox:#_x0000_s1049" inset=",0,,0">
                      <w:txbxContent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驗收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50" type="#_x0000_t202" style="position:absolute;left:3945;top:10430;width:2091;height:680">
                    <v:textbox style="mso-next-textbox:#_x0000_s1050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訂約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1" type="#_x0000_t32" style="position:absolute;left:5160;top:7214;width:1;height:279" o:connectortype="straight">
                    <v:stroke endarrow="block"/>
                  </v:shape>
                  <v:shape id="_x0000_s1052" type="#_x0000_t32" style="position:absolute;left:3336;top:7979;width:384;height:1;flip:x" o:connectortype="straight">
                    <v:stroke endarrow="block"/>
                  </v:shape>
                  <v:shape id="_x0000_s1053" type="#_x0000_t32" style="position:absolute;left:7333;top:10008;width:452;height:1" o:connectortype="straight"/>
                  <v:shape id="_x0000_s1054" type="#_x0000_t32" style="position:absolute;left:6570;top:7974;width:1964;height:1" o:connectortype="straight"/>
                  <v:shape id="_x0000_s1055" type="#_x0000_t202" style="position:absolute;left:5578;top:7305;width:422;height:300" strokecolor="white">
                    <v:textbox style="layout-flow:vertical-ideographic;mso-next-textbox:#_x0000_s1055" inset="0,0,0,0">
                      <w:txbxContent>
                        <w:p w:rsidR="008F6A87" w:rsidRPr="0028306D" w:rsidRDefault="008F6A87" w:rsidP="006671DC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28306D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有</w:t>
                          </w:r>
                        </w:p>
                      </w:txbxContent>
                    </v:textbox>
                  </v:shape>
                  <v:shape id="_x0000_s1056" type="#_x0000_t202" style="position:absolute;left:7138;top:9720;width:422;height:195" strokecolor="white">
                    <v:textbox style="layout-flow:vertical-ideographic;mso-next-textbox:#_x0000_s1056" inset="0,0,0,0">
                      <w:txbxContent>
                        <w:p w:rsidR="008F6A87" w:rsidRPr="0028306D" w:rsidRDefault="008F6A87" w:rsidP="006671DC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28306D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有</w:t>
                          </w:r>
                        </w:p>
                      </w:txbxContent>
                    </v:textbox>
                  </v:shape>
                  <v:shape id="_x0000_s1057" type="#_x0000_t32" style="position:absolute;left:9074;top:9025;width:16;height:504" o:connectortype="straight">
                    <v:stroke endarrow="block"/>
                  </v:shape>
                  <v:shape id="_x0000_s1058" type="#_x0000_t202" style="position:absolute;left:8493;top:10958;width:1722;height:680">
                    <v:textbox style="mso-next-textbox:#_x0000_s1058" inset="0,0,0,0">
                      <w:txbxContent>
                        <w:p w:rsidR="008F6A87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製作流標紀錄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8F6A87" w:rsidRPr="006218BE" w:rsidRDefault="008F6A87" w:rsidP="006671DC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59" type="#_x0000_t32" style="position:absolute;left:5051;top:10210;width:4;height:220;flip:x" o:connectortype="straight">
                    <v:stroke endarrow="block"/>
                  </v:shape>
                  <v:shape id="_x0000_s1060" type="#_x0000_t32" style="position:absolute;left:5148;top:12793;width:1;height:159" o:connectortype="straight">
                    <v:stroke endarrow="block"/>
                  </v:shape>
                  <v:shape id="_x0000_s1061" type="#_x0000_t32" style="position:absolute;left:5115;top:11905;width:1;height:219" o:connectortype="straight">
                    <v:stroke endarrow="block"/>
                  </v:shape>
                  <v:shape id="_x0000_s1062" type="#_x0000_t202" style="position:absolute;left:8375;top:12795;width:2113;height:680">
                    <v:textbox style="mso-next-textbox:#_x0000_s1062" inset="0,0,0,0">
                      <w:txbxContent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簽辦採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購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方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63" type="#_x0000_t202" style="position:absolute;left:1470;top:9739;width:2208;height:680">
                    <v:textbox style="mso-next-textbox:#_x0000_s1063" inset="0,0,0,0">
                      <w:txbxContent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簽辦採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購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方式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64" type="#_x0000_t32" style="position:absolute;left:5304;top:4317;width:1;height:368" o:connectortype="straight">
                    <v:stroke endarrow="block"/>
                  </v:shape>
                  <v:shape id="_x0000_s1065" type="#_x0000_t32" style="position:absolute;left:8550;top:7974;width:15;height:366" o:connectortype="straight">
                    <v:stroke endarrow="block"/>
                  </v:shape>
                  <v:shape id="_x0000_s1066" type="#_x0000_t32" style="position:absolute;left:2445;top:8355;width:1;height:1415" o:connectortype="straight">
                    <v:stroke endarrow="block"/>
                  </v:shape>
                  <v:shape id="_x0000_s1067" type="#_x0000_t32" style="position:absolute;left:9354;top:11638;width:78;height:1157" o:connectortype="straight">
                    <v:stroke endarrow="block"/>
                  </v:shape>
                  <v:shape id="_x0000_s1068" type="#_x0000_t32" style="position:absolute;left:5125;top:6265;width:1;height:279" o:connectortype="straight">
                    <v:stroke endarrow="block"/>
                  </v:shape>
                  <v:shape id="_x0000_s1069" type="#_x0000_t32" style="position:absolute;left:5125;top:5305;width:1;height:279" o:connectortype="straight">
                    <v:stroke endarrow="block"/>
                  </v:shape>
                  <v:shape id="_x0000_s1070" type="#_x0000_t32" style="position:absolute;left:7422;top:12040;width:1;height:279" o:connectortype="straight">
                    <v:stroke endarrow="block"/>
                  </v:shape>
                  <v:shape id="_x0000_s1071" type="#_x0000_t32" style="position:absolute;left:7406;top:11065;width:1;height:279" o:connectortype="straight">
                    <v:stroke endarrow="block"/>
                  </v:shape>
                  <v:shape id="_x0000_s1072" type="#_x0000_t32" style="position:absolute;left:6520;top:3370;width:1;height:279" o:connectortype="straight">
                    <v:stroke endarrow="block"/>
                  </v:shape>
                  <v:shape id="_x0000_s1073" type="#_x0000_t32" style="position:absolute;left:6460;top:2440;width:1;height:279" o:connectortype="straight">
                    <v:stroke endarrow="block"/>
                  </v:shape>
                  <v:shape id="_x0000_s1074" type="#_x0000_t32" style="position:absolute;left:4095;top:2100;width:4888;height:1" o:connectortype="straight"/>
                  <v:shape id="_x0000_s1075" type="#_x0000_t32" style="position:absolute;left:5304;top:3045;width:2421;height:1" o:connectortype="straight"/>
                  <v:shape id="_x0000_s1076" type="#_x0000_t32" style="position:absolute;left:5175;top:3960;width:2658;height:1" o:connectortype="straight"/>
                  <v:shape id="_x0000_s1077" type="#_x0000_t32" style="position:absolute;left:4314;top:4995;width:1722;height:1" o:connectortype="straight"/>
                  <v:shape id="_x0000_s1078" type="#_x0000_t32" style="position:absolute;left:6553;top:10739;width:1722;height:1" o:connectortype="straight"/>
                  <v:shape id="_x0000_s1079" type="#_x0000_t32" style="position:absolute;left:3480;top:5925;width:2983;height:1" o:connectortype="straight"/>
                  <v:shape id="_x0000_s1080" type="#_x0000_t32" style="position:absolute;left:6474;top:11698;width:1956;height:1" o:connectortype="straight"/>
                  <v:shape id="_x0000_s1081" type="#_x0000_t32" style="position:absolute;left:4269;top:6885;width:1722;height:1" o:connectortype="straight"/>
                  <v:shape id="_x0000_s1082" type="#_x0000_t32" style="position:absolute;left:6537;top:12674;width:1722;height:1" o:connectortype="straight"/>
                  <v:shape id="_x0000_s1083" type="#_x0000_t32" style="position:absolute;left:1629;top:8000;width:1722;height:1" o:connectortype="straight"/>
                  <v:shape id="_x0000_s1084" type="#_x0000_t32" style="position:absolute;left:3465;top:8955;width:2983;height:1" o:connectortype="straight"/>
                  <v:shape id="_x0000_s1085" type="#_x0000_t32" style="position:absolute;left:1470;top:10079;width:2208;height:1" o:connectortype="straight"/>
                  <v:shape id="_x0000_s1086" type="#_x0000_t32" style="position:absolute;left:3945;top:9900;width:2211;height:1" o:connectortype="straight"/>
                  <v:shape id="_x0000_s1087" type="#_x0000_t32" style="position:absolute;left:3945;top:10770;width:2091;height:1" o:connectortype="straight"/>
                  <v:shape id="_x0000_s1088" type="#_x0000_t32" style="position:absolute;left:8493;top:11298;width:1722;height:1" o:connectortype="straight"/>
                  <v:shape id="_x0000_s1089" type="#_x0000_t32" style="position:absolute;left:4104;top:11583;width:1722;height:1" o:connectortype="straight"/>
                  <v:shape id="_x0000_s1090" type="#_x0000_t32" style="position:absolute;left:4104;top:12450;width:1722;height:1" o:connectortype="straight"/>
                  <v:shape id="_x0000_s1091" type="#_x0000_t32" style="position:absolute;left:3624;top:13392;width:2498;height:1" o:connectortype="straight"/>
                  <v:shape id="_x0000_s1092" type="#_x0000_t32" style="position:absolute;left:8375;top:13135;width:2113;height:1" o:connectortype="straight"/>
                  <v:shape id="_x0000_s1093" type="#_x0000_t202" style="position:absolute;left:3465;top:7500;width:422;height:375" strokecolor="white">
                    <v:textbox style="layout-flow:vertical-ideographic;mso-next-textbox:#_x0000_s1093" inset="0,0,0,0">
                      <w:txbxContent>
                        <w:p w:rsidR="008F6A87" w:rsidRPr="0028306D" w:rsidRDefault="008F6A87" w:rsidP="006671DC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無</w:t>
                          </w:r>
                        </w:p>
                      </w:txbxContent>
                    </v:textbox>
                  </v:shape>
                  <v:shape id="_x0000_s1094" type="#_x0000_t202" style="position:absolute;left:7414;top:8340;width:2421;height:680">
                    <v:textbox style="mso-next-textbox:#_x0000_s1094" inset="0,0,0,0">
                      <w:txbxContent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採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購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評選作業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8F6A87" w:rsidRPr="007F2761" w:rsidRDefault="008F6A87" w:rsidP="006671DC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95" type="#_x0000_t202" style="position:absolute;left:9730;top:10489;width:422;height:375" strokecolor="white">
                    <v:textbox style="layout-flow:vertical-ideographic;mso-next-textbox:#_x0000_s1095" inset="0,0,0,0">
                      <w:txbxContent>
                        <w:p w:rsidR="008F6A87" w:rsidRPr="0028306D" w:rsidRDefault="008F6A87" w:rsidP="006671DC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無</w:t>
                          </w:r>
                        </w:p>
                      </w:txbxContent>
                    </v:textbox>
                  </v:shape>
                  <v:shape id="_x0000_s1096" type="#_x0000_t32" style="position:absolute;left:7346;top:10045;width:1;height:279" o:connectortype="straight">
                    <v:stroke endarrow="block"/>
                  </v:shape>
                  <v:line id="_x0000_s1097" style="position:absolute;flip:y" from="6385,9535" to="6386,12655"/>
                  <v:line id="_x0000_s1098" style="position:absolute" from="6385,12640" to="6520,12640"/>
                  <v:line id="_x0000_s1099" style="position:absolute;flip:x" from="6445,8935" to="6790,8936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shape id="_x0000_s1100" type="#_x0000_t32" style="position:absolute;left:0;text-align:left;margin-left:153.25pt;margin-top:444.9pt;width:.05pt;height:7.95pt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01" type="#_x0000_t32" style="position:absolute;left:0;text-align:left;margin-left:149pt;margin-top:358.45pt;width:.05pt;height:13.95pt;z-index:251658240" o:connectortype="straight">
                  <v:stroke endarrow="block"/>
                </v:shape>
              </w:pict>
            </w:r>
          </w:p>
        </w:tc>
        <w:tc>
          <w:tcPr>
            <w:tcW w:w="3044" w:type="dxa"/>
          </w:tcPr>
          <w:p w:rsidR="008F6A87" w:rsidRPr="003A778E" w:rsidRDefault="008F6A87" w:rsidP="008F6A87">
            <w:pPr>
              <w:ind w:leftChars="50" w:left="31680" w:rightChars="50" w:right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一、作業程序：</w:t>
            </w:r>
          </w:p>
          <w:p w:rsidR="008F6A87" w:rsidRDefault="008F6A87" w:rsidP="008F6A87">
            <w:pPr>
              <w:spacing w:line="300" w:lineRule="exact"/>
              <w:ind w:leftChars="76" w:left="31680" w:hangingChars="235" w:firstLine="31680"/>
              <w:jc w:val="both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確認需求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採購級距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廠商資格及準備招標文件</w:t>
            </w:r>
          </w:p>
          <w:p w:rsidR="008F6A87" w:rsidRDefault="008F6A87" w:rsidP="008F6A87">
            <w:pPr>
              <w:ind w:leftChars="75" w:left="31680" w:rightChars="62" w:right="31680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簽辦採</w:t>
            </w:r>
            <w:r w:rsidRPr="007F2761">
              <w:rPr>
                <w:rFonts w:ascii="標楷體" w:eastAsia="標楷體" w:hAnsi="標楷體" w:cs="標楷體" w:hint="eastAsia"/>
              </w:rPr>
              <w:t>購</w:t>
            </w:r>
          </w:p>
          <w:p w:rsidR="008F6A87" w:rsidRDefault="008F6A87" w:rsidP="008F6A87">
            <w:pPr>
              <w:ind w:leftChars="75" w:left="31680" w:rightChars="62" w:right="31680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  <w:r>
              <w:rPr>
                <w:rFonts w:ascii="標楷體" w:eastAsia="標楷體" w:hAnsi="標楷體" w:cs="標楷體" w:hint="eastAsia"/>
              </w:rPr>
              <w:t>採購</w:t>
            </w:r>
          </w:p>
          <w:p w:rsidR="008F6A87" w:rsidRDefault="008F6A87" w:rsidP="008F6A87">
            <w:pPr>
              <w:ind w:leftChars="75" w:left="31680" w:rightChars="62" w:right="31680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公開評選上網公告</w:t>
            </w:r>
          </w:p>
          <w:p w:rsidR="008F6A87" w:rsidRDefault="008F6A87" w:rsidP="008F6A87">
            <w:pPr>
              <w:ind w:leftChars="75" w:left="31680" w:rightChars="62" w:right="31680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開資格標</w:t>
            </w:r>
          </w:p>
          <w:p w:rsidR="008F6A87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底價訂定</w:t>
            </w:r>
          </w:p>
          <w:p w:rsidR="008F6A87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評選作業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議比價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決標</w:t>
            </w:r>
          </w:p>
          <w:p w:rsidR="008F6A87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結果</w:t>
            </w:r>
            <w:r>
              <w:rPr>
                <w:rFonts w:ascii="標楷體" w:eastAsia="標楷體" w:hAnsi="標楷體" w:cs="標楷體" w:hint="eastAsia"/>
              </w:rPr>
              <w:t>通知廠商</w:t>
            </w:r>
          </w:p>
          <w:p w:rsidR="008F6A87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九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採購訂約及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履約</w:t>
            </w:r>
          </w:p>
          <w:p w:rsidR="008F6A87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驗收</w:t>
            </w:r>
          </w:p>
          <w:p w:rsidR="008F6A87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7F2761">
              <w:rPr>
                <w:rFonts w:ascii="標楷體" w:eastAsia="標楷體" w:hAnsi="標楷體" w:cs="標楷體" w:hint="eastAsia"/>
              </w:rPr>
              <w:t>審核</w:t>
            </w:r>
          </w:p>
          <w:p w:rsidR="008F6A87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</w:p>
          <w:p w:rsidR="008F6A87" w:rsidRPr="000021F3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憑證整理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付款</w:t>
            </w:r>
          </w:p>
          <w:p w:rsidR="008F6A87" w:rsidRPr="003A778E" w:rsidRDefault="008F6A87" w:rsidP="008F6A87">
            <w:pPr>
              <w:ind w:leftChars="211" w:left="31680" w:rightChars="62" w:right="31680" w:hangingChars="100" w:firstLine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F6A87" w:rsidRDefault="008F6A87" w:rsidP="008F6A87">
            <w:pPr>
              <w:ind w:rightChars="62" w:right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二、注意事項</w:t>
            </w:r>
          </w:p>
          <w:p w:rsidR="008F6A87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2C36A6">
              <w:rPr>
                <w:rFonts w:ascii="標楷體" w:eastAsia="標楷體" w:hAnsi="標楷體" w:cs="標楷體" w:hint="eastAsia"/>
              </w:rPr>
              <w:t>應刊登政府採購公報，並公開於政府採購網站。</w:t>
            </w:r>
          </w:p>
          <w:p w:rsidR="008F6A87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2C36A6">
              <w:rPr>
                <w:rFonts w:ascii="標楷體" w:eastAsia="標楷體" w:hAnsi="標楷體" w:cs="標楷體" w:hint="eastAsia"/>
              </w:rPr>
              <w:t>招標文件如規定由評選委員會過半數之決定評定最有利標者，機關首長不得變更或不採納該評選結果。</w:t>
            </w:r>
          </w:p>
          <w:p w:rsidR="008F6A87" w:rsidRPr="003A778E" w:rsidRDefault="008F6A87" w:rsidP="008F6A87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2C36A6">
              <w:rPr>
                <w:rFonts w:ascii="標楷體" w:eastAsia="標楷體" w:hAnsi="標楷體" w:cs="標楷體" w:hint="eastAsia"/>
              </w:rPr>
              <w:t>招標文件訂明固定費用者依</w:t>
            </w:r>
            <w:r>
              <w:rPr>
                <w:rFonts w:ascii="標楷體" w:eastAsia="標楷體" w:hAnsi="標楷體" w:cs="標楷體" w:hint="eastAsia"/>
              </w:rPr>
              <w:t>其</w:t>
            </w:r>
            <w:r w:rsidRPr="002C36A6">
              <w:rPr>
                <w:rFonts w:ascii="標楷體" w:eastAsia="標楷體" w:hAnsi="標楷體" w:cs="標楷體" w:hint="eastAsia"/>
              </w:rPr>
              <w:t>決標。但須注意議價程序仍不能免除。</w:t>
            </w:r>
          </w:p>
          <w:p w:rsidR="008F6A87" w:rsidRPr="006067BE" w:rsidRDefault="008F6A87" w:rsidP="008F6A87">
            <w:pPr>
              <w:ind w:rightChars="62" w:right="31680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</w:tr>
    </w:tbl>
    <w:p w:rsidR="008F6A87" w:rsidRDefault="008F6A87"/>
    <w:sectPr w:rsidR="008F6A87" w:rsidSect="00E141B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8B"/>
    <w:rsid w:val="000021F3"/>
    <w:rsid w:val="0002038B"/>
    <w:rsid w:val="00095C8E"/>
    <w:rsid w:val="000B09F6"/>
    <w:rsid w:val="00126419"/>
    <w:rsid w:val="001926CB"/>
    <w:rsid w:val="00257DBA"/>
    <w:rsid w:val="0028052F"/>
    <w:rsid w:val="0028306D"/>
    <w:rsid w:val="002C36A6"/>
    <w:rsid w:val="002E212F"/>
    <w:rsid w:val="002F386E"/>
    <w:rsid w:val="003040FB"/>
    <w:rsid w:val="00380DA0"/>
    <w:rsid w:val="003825D4"/>
    <w:rsid w:val="003A778E"/>
    <w:rsid w:val="003F0D8E"/>
    <w:rsid w:val="003F297A"/>
    <w:rsid w:val="00470BB2"/>
    <w:rsid w:val="00503016"/>
    <w:rsid w:val="00514F4E"/>
    <w:rsid w:val="00563B9E"/>
    <w:rsid w:val="005E74A5"/>
    <w:rsid w:val="006067BE"/>
    <w:rsid w:val="006218AB"/>
    <w:rsid w:val="006218BE"/>
    <w:rsid w:val="006671DC"/>
    <w:rsid w:val="006C72C4"/>
    <w:rsid w:val="006D1010"/>
    <w:rsid w:val="00782F36"/>
    <w:rsid w:val="007F2761"/>
    <w:rsid w:val="00835A55"/>
    <w:rsid w:val="00856AFE"/>
    <w:rsid w:val="008F6A87"/>
    <w:rsid w:val="00904158"/>
    <w:rsid w:val="009E4866"/>
    <w:rsid w:val="00A33045"/>
    <w:rsid w:val="00AE7780"/>
    <w:rsid w:val="00AF683E"/>
    <w:rsid w:val="00B03982"/>
    <w:rsid w:val="00B20FA1"/>
    <w:rsid w:val="00B24374"/>
    <w:rsid w:val="00C95837"/>
    <w:rsid w:val="00D42354"/>
    <w:rsid w:val="00E141BE"/>
    <w:rsid w:val="00E27BB4"/>
    <w:rsid w:val="00E33EAA"/>
    <w:rsid w:val="00E665B8"/>
    <w:rsid w:val="00EC310B"/>
    <w:rsid w:val="00EC661A"/>
    <w:rsid w:val="00F546A5"/>
    <w:rsid w:val="00F86154"/>
    <w:rsid w:val="00F86B79"/>
    <w:rsid w:val="00FB561A"/>
    <w:rsid w:val="00FD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47</Words>
  <Characters>274</Characters>
  <Application>Microsoft Office Outlook</Application>
  <DocSecurity>0</DocSecurity>
  <Lines>0</Lines>
  <Paragraphs>0</Paragraphs>
  <ScaleCrop>false</ScaleCrop>
  <Company>tmue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臺北市立大學標準作業流程格式參考：</dc:title>
  <dc:subject/>
  <dc:creator>asus</dc:creator>
  <cp:keywords/>
  <dc:description/>
  <cp:lastModifiedBy>tmue</cp:lastModifiedBy>
  <cp:revision>22</cp:revision>
  <dcterms:created xsi:type="dcterms:W3CDTF">2015-02-22T04:58:00Z</dcterms:created>
  <dcterms:modified xsi:type="dcterms:W3CDTF">2015-03-03T06:11:00Z</dcterms:modified>
</cp:coreProperties>
</file>